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60" w:rsidRPr="00F61072" w:rsidRDefault="00F85A60" w:rsidP="00F85A60">
      <w:pPr>
        <w:jc w:val="center"/>
        <w:rPr>
          <w:b w:val="0"/>
          <w:sz w:val="24"/>
          <w:szCs w:val="24"/>
        </w:rPr>
      </w:pPr>
      <w:r w:rsidRPr="00F61072">
        <w:rPr>
          <w:b w:val="0"/>
          <w:noProof/>
          <w:sz w:val="24"/>
          <w:szCs w:val="24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0" w:rsidRPr="00F61072" w:rsidRDefault="00F85A60" w:rsidP="00F85A60">
      <w:pPr>
        <w:rPr>
          <w:sz w:val="24"/>
          <w:szCs w:val="24"/>
        </w:rPr>
      </w:pPr>
    </w:p>
    <w:p w:rsidR="00F85A60" w:rsidRPr="00F61072" w:rsidRDefault="00F85A60" w:rsidP="00F85A60">
      <w:pPr>
        <w:jc w:val="center"/>
        <w:rPr>
          <w:caps/>
          <w:sz w:val="24"/>
          <w:szCs w:val="24"/>
        </w:rPr>
      </w:pPr>
      <w:r w:rsidRPr="00F61072">
        <w:rPr>
          <w:caps/>
          <w:sz w:val="24"/>
          <w:szCs w:val="24"/>
        </w:rPr>
        <w:t>администрация муниципального образования</w:t>
      </w:r>
    </w:p>
    <w:p w:rsidR="00F85A60" w:rsidRPr="00F61072" w:rsidRDefault="00F85A60" w:rsidP="00F85A60">
      <w:pPr>
        <w:jc w:val="center"/>
        <w:rPr>
          <w:caps/>
          <w:sz w:val="24"/>
          <w:szCs w:val="24"/>
        </w:rPr>
      </w:pPr>
      <w:r w:rsidRPr="00F61072">
        <w:rPr>
          <w:caps/>
          <w:sz w:val="24"/>
          <w:szCs w:val="24"/>
        </w:rPr>
        <w:t>Большеколпанское сельское поселение</w:t>
      </w:r>
    </w:p>
    <w:p w:rsidR="00F85A60" w:rsidRPr="00F61072" w:rsidRDefault="00F85A60" w:rsidP="00F85A60">
      <w:pPr>
        <w:jc w:val="center"/>
        <w:rPr>
          <w:caps/>
          <w:sz w:val="24"/>
          <w:szCs w:val="24"/>
        </w:rPr>
      </w:pPr>
      <w:r w:rsidRPr="00F61072">
        <w:rPr>
          <w:caps/>
          <w:sz w:val="24"/>
          <w:szCs w:val="24"/>
        </w:rPr>
        <w:t>Гатчинского муниципального района</w:t>
      </w:r>
    </w:p>
    <w:p w:rsidR="00F85A60" w:rsidRPr="00F61072" w:rsidRDefault="00F85A60" w:rsidP="00F85A60">
      <w:pPr>
        <w:jc w:val="center"/>
        <w:rPr>
          <w:sz w:val="24"/>
          <w:szCs w:val="24"/>
        </w:rPr>
      </w:pPr>
      <w:r w:rsidRPr="00F61072">
        <w:rPr>
          <w:caps/>
          <w:sz w:val="24"/>
          <w:szCs w:val="24"/>
        </w:rPr>
        <w:t>Ленинградской области</w:t>
      </w:r>
    </w:p>
    <w:p w:rsidR="00F85A60" w:rsidRPr="00F61072" w:rsidRDefault="00F85A60" w:rsidP="00F85A60">
      <w:pPr>
        <w:spacing w:line="360" w:lineRule="auto"/>
        <w:jc w:val="center"/>
        <w:rPr>
          <w:b w:val="0"/>
          <w:sz w:val="24"/>
          <w:szCs w:val="24"/>
        </w:rPr>
      </w:pPr>
    </w:p>
    <w:p w:rsidR="00F85A60" w:rsidRPr="00F61072" w:rsidRDefault="00F85A60" w:rsidP="00F85A60">
      <w:pPr>
        <w:spacing w:line="360" w:lineRule="auto"/>
        <w:jc w:val="center"/>
        <w:rPr>
          <w:caps/>
          <w:sz w:val="24"/>
          <w:szCs w:val="24"/>
        </w:rPr>
      </w:pPr>
      <w:r w:rsidRPr="00F61072">
        <w:rPr>
          <w:caps/>
          <w:sz w:val="24"/>
          <w:szCs w:val="24"/>
        </w:rPr>
        <w:t>ПОСТАНОВЛЕНИЕ</w:t>
      </w:r>
    </w:p>
    <w:p w:rsidR="00F85A60" w:rsidRPr="00F61072" w:rsidRDefault="00F85A60" w:rsidP="00F85A60">
      <w:pPr>
        <w:spacing w:line="360" w:lineRule="auto"/>
        <w:rPr>
          <w:b w:val="0"/>
          <w:sz w:val="24"/>
          <w:szCs w:val="24"/>
        </w:rPr>
      </w:pPr>
    </w:p>
    <w:p w:rsidR="00F85A60" w:rsidRPr="00F61072" w:rsidRDefault="000E320C" w:rsidP="00F85A60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«02» августа 2017 г.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№  339</w:t>
      </w:r>
      <w:r w:rsidR="00F85A60" w:rsidRPr="00F61072">
        <w:rPr>
          <w:b w:val="0"/>
          <w:sz w:val="24"/>
          <w:szCs w:val="24"/>
        </w:rPr>
        <w:tab/>
        <w:t xml:space="preserve"> </w:t>
      </w:r>
    </w:p>
    <w:p w:rsidR="00F85A60" w:rsidRPr="00F61072" w:rsidRDefault="00F85A60" w:rsidP="00F85A60">
      <w:pPr>
        <w:ind w:firstLine="426"/>
        <w:rPr>
          <w:sz w:val="24"/>
          <w:szCs w:val="24"/>
        </w:rPr>
      </w:pPr>
    </w:p>
    <w:tbl>
      <w:tblPr>
        <w:tblW w:w="4931" w:type="dxa"/>
        <w:tblInd w:w="108" w:type="dxa"/>
        <w:tblLayout w:type="fixed"/>
        <w:tblLook w:val="0000"/>
      </w:tblPr>
      <w:tblGrid>
        <w:gridCol w:w="4931"/>
      </w:tblGrid>
      <w:tr w:rsidR="00F85A60" w:rsidRPr="00F61072" w:rsidTr="00F85A60">
        <w:trPr>
          <w:trHeight w:val="915"/>
        </w:trPr>
        <w:tc>
          <w:tcPr>
            <w:tcW w:w="4931" w:type="dxa"/>
          </w:tcPr>
          <w:p w:rsidR="00F85A60" w:rsidRPr="00F85A60" w:rsidRDefault="00F85A60" w:rsidP="00F85A60">
            <w:pPr>
              <w:rPr>
                <w:b w:val="0"/>
                <w:sz w:val="24"/>
                <w:szCs w:val="24"/>
              </w:rPr>
            </w:pPr>
            <w:r w:rsidRPr="00AC6B3F">
              <w:rPr>
                <w:b w:val="0"/>
                <w:sz w:val="24"/>
                <w:szCs w:val="24"/>
              </w:rPr>
              <w:t>Об утверждении Порядка</w:t>
            </w:r>
            <w:r w:rsidRPr="0064259A">
              <w:rPr>
                <w:b w:val="0"/>
                <w:sz w:val="24"/>
                <w:szCs w:val="24"/>
              </w:rPr>
              <w:t xml:space="preserve"> использования открытого огня и разведения костров на </w:t>
            </w:r>
            <w:r>
              <w:rPr>
                <w:b w:val="0"/>
                <w:sz w:val="24"/>
                <w:szCs w:val="24"/>
              </w:rPr>
              <w:t xml:space="preserve">территории муниципального </w:t>
            </w:r>
            <w:r w:rsidRPr="00AC6B3F">
              <w:rPr>
                <w:b w:val="0"/>
                <w:sz w:val="24"/>
                <w:szCs w:val="24"/>
              </w:rPr>
              <w:t xml:space="preserve">образования </w:t>
            </w:r>
            <w:r w:rsidR="00157BC5">
              <w:rPr>
                <w:b w:val="0"/>
                <w:sz w:val="24"/>
                <w:szCs w:val="24"/>
              </w:rPr>
              <w:t>Большеколпанское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 xml:space="preserve"> сельское поселение  Гатчинского муниципального района Ленинградской области</w:t>
            </w:r>
          </w:p>
        </w:tc>
      </w:tr>
    </w:tbl>
    <w:p w:rsidR="00F85A60" w:rsidRPr="00F61072" w:rsidRDefault="00F85A60" w:rsidP="00F85A6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F85A60" w:rsidRPr="00F61072" w:rsidRDefault="00F85A60" w:rsidP="00F85A60">
      <w:pPr>
        <w:autoSpaceDE w:val="0"/>
        <w:autoSpaceDN w:val="0"/>
        <w:adjustRightInd w:val="0"/>
        <w:ind w:firstLine="567"/>
        <w:jc w:val="both"/>
        <w:rPr>
          <w:b w:val="0"/>
          <w:color w:val="000000"/>
          <w:sz w:val="24"/>
          <w:szCs w:val="24"/>
        </w:rPr>
      </w:pPr>
      <w:r w:rsidRPr="00AC6B3F">
        <w:rPr>
          <w:b w:val="0"/>
          <w:color w:val="000000"/>
          <w:sz w:val="24"/>
          <w:szCs w:val="24"/>
          <w:shd w:val="clear" w:color="auto" w:fill="FFFFFF"/>
        </w:rPr>
        <w:t xml:space="preserve">В соответствии с </w:t>
      </w:r>
      <w:r>
        <w:rPr>
          <w:b w:val="0"/>
          <w:color w:val="000000"/>
          <w:sz w:val="24"/>
          <w:szCs w:val="24"/>
          <w:shd w:val="clear" w:color="auto" w:fill="FFFFFF"/>
        </w:rPr>
        <w:t>Правилами противопожарного режима в Российской Федерации, утвержденных постановлением Правительства РФ от 25.04.2012 № 390 «О противопожарном режиме»</w:t>
      </w:r>
      <w:r w:rsidRPr="00F61072">
        <w:rPr>
          <w:b w:val="0"/>
          <w:color w:val="000000"/>
          <w:sz w:val="24"/>
          <w:szCs w:val="24"/>
        </w:rPr>
        <w:t xml:space="preserve">, </w:t>
      </w:r>
      <w:r w:rsidRPr="00F61072">
        <w:rPr>
          <w:b w:val="0"/>
          <w:bCs/>
          <w:sz w:val="24"/>
          <w:szCs w:val="24"/>
        </w:rPr>
        <w:t xml:space="preserve">Уставом муниципального образования </w:t>
      </w:r>
      <w:r w:rsidRPr="00F61072">
        <w:rPr>
          <w:b w:val="0"/>
          <w:sz w:val="24"/>
          <w:szCs w:val="24"/>
        </w:rPr>
        <w:t xml:space="preserve">муниципального образования Большеколпанское сельское поселение, Положением об администрации муниципального образования Большеколпанское сельское поселение, Администрация </w:t>
      </w:r>
      <w:r>
        <w:rPr>
          <w:b w:val="0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</w:p>
    <w:p w:rsidR="00F85A60" w:rsidRPr="00F61072" w:rsidRDefault="00F85A60" w:rsidP="00F85A60">
      <w:pPr>
        <w:ind w:firstLine="708"/>
        <w:jc w:val="both"/>
        <w:rPr>
          <w:sz w:val="24"/>
          <w:szCs w:val="24"/>
        </w:rPr>
      </w:pPr>
    </w:p>
    <w:p w:rsidR="00F85A60" w:rsidRDefault="00F85A60" w:rsidP="00F85A60">
      <w:pPr>
        <w:ind w:firstLine="708"/>
        <w:jc w:val="center"/>
      </w:pPr>
      <w:r w:rsidRPr="00442F66">
        <w:t>ПОСТАНОВЛЯЕТ:</w:t>
      </w:r>
    </w:p>
    <w:p w:rsidR="00F85A60" w:rsidRPr="00442F66" w:rsidRDefault="00F85A60" w:rsidP="00F85A60">
      <w:pPr>
        <w:ind w:firstLine="708"/>
        <w:jc w:val="center"/>
        <w:rPr>
          <w:b w:val="0"/>
        </w:rPr>
      </w:pPr>
    </w:p>
    <w:p w:rsidR="00F85A60" w:rsidRPr="000C0E94" w:rsidRDefault="00F85A60" w:rsidP="00F65662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426"/>
        <w:jc w:val="both"/>
        <w:rPr>
          <w:b w:val="0"/>
          <w:color w:val="000000"/>
          <w:sz w:val="24"/>
          <w:szCs w:val="24"/>
        </w:rPr>
      </w:pPr>
      <w:r w:rsidRPr="000C0E94">
        <w:rPr>
          <w:b w:val="0"/>
          <w:sz w:val="24"/>
          <w:szCs w:val="24"/>
        </w:rPr>
        <w:t>Утвердить прилагаемый Порядок использования открытого огня и разведения костров на территории</w:t>
      </w:r>
      <w:r w:rsidR="000C0E94">
        <w:rPr>
          <w:b w:val="0"/>
          <w:sz w:val="24"/>
          <w:szCs w:val="24"/>
        </w:rPr>
        <w:t xml:space="preserve"> </w:t>
      </w:r>
      <w:r w:rsidRPr="000C0E94">
        <w:rPr>
          <w:b w:val="0"/>
          <w:sz w:val="24"/>
          <w:szCs w:val="24"/>
        </w:rPr>
        <w:t xml:space="preserve">муниципального образования </w:t>
      </w:r>
      <w:r w:rsidRPr="000C0E94">
        <w:rPr>
          <w:b w:val="0"/>
          <w:color w:val="000000"/>
          <w:sz w:val="24"/>
          <w:szCs w:val="24"/>
        </w:rPr>
        <w:t>Большеколпанское сельское поселение Гатчинского муниципального района Ленинградской области.</w:t>
      </w:r>
    </w:p>
    <w:p w:rsidR="000C0E94" w:rsidRPr="000C0E94" w:rsidRDefault="000C0E94" w:rsidP="00F6566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C0E94">
        <w:rPr>
          <w:rFonts w:eastAsiaTheme="minorHAnsi"/>
          <w:b w:val="0"/>
          <w:sz w:val="24"/>
          <w:szCs w:val="24"/>
          <w:lang w:eastAsia="en-US"/>
        </w:rPr>
        <w:t xml:space="preserve"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</w:t>
      </w:r>
      <w:r>
        <w:rPr>
          <w:rFonts w:eastAsiaTheme="minorHAnsi"/>
          <w:b w:val="0"/>
          <w:sz w:val="24"/>
          <w:szCs w:val="24"/>
          <w:lang w:eastAsia="en-US"/>
        </w:rPr>
        <w:t>правовым актом администрации Большеколпанского сельского поселения</w:t>
      </w:r>
      <w:r w:rsidRPr="000C0E94">
        <w:rPr>
          <w:rFonts w:eastAsiaTheme="minorHAnsi"/>
          <w:b w:val="0"/>
          <w:sz w:val="24"/>
          <w:szCs w:val="24"/>
          <w:lang w:eastAsia="en-US"/>
        </w:rPr>
        <w:t>.</w:t>
      </w:r>
    </w:p>
    <w:p w:rsidR="00F85A60" w:rsidRPr="00F85A60" w:rsidRDefault="000C0E94" w:rsidP="00F65662">
      <w:pPr>
        <w:suppressAutoHyphens/>
        <w:autoSpaceDE w:val="0"/>
        <w:autoSpaceDN w:val="0"/>
        <w:adjustRightInd w:val="0"/>
        <w:ind w:firstLine="42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</w:t>
      </w:r>
      <w:r w:rsidR="00F85A60" w:rsidRPr="00F85A60">
        <w:rPr>
          <w:b w:val="0"/>
          <w:color w:val="000000"/>
          <w:sz w:val="24"/>
          <w:szCs w:val="24"/>
        </w:rPr>
        <w:t xml:space="preserve">. </w:t>
      </w:r>
      <w:r w:rsidR="00F85A60" w:rsidRPr="00F85A60">
        <w:rPr>
          <w:b w:val="0"/>
          <w:sz w:val="24"/>
          <w:szCs w:val="24"/>
        </w:rPr>
        <w:t>Постановление вступает в силу с момента официального опубликования</w:t>
      </w:r>
      <w:r w:rsidR="00F85A60">
        <w:rPr>
          <w:b w:val="0"/>
          <w:sz w:val="24"/>
          <w:szCs w:val="24"/>
        </w:rPr>
        <w:t xml:space="preserve"> и подлежит размещению на официальном сайте администрации </w:t>
      </w:r>
      <w:r w:rsidR="00F85A60" w:rsidRPr="00F85A60">
        <w:rPr>
          <w:b w:val="0"/>
          <w:sz w:val="24"/>
          <w:szCs w:val="24"/>
        </w:rPr>
        <w:t xml:space="preserve">муниципального образования </w:t>
      </w:r>
      <w:r w:rsidR="00F85A60" w:rsidRPr="00F85A60">
        <w:rPr>
          <w:b w:val="0"/>
          <w:color w:val="000000"/>
          <w:sz w:val="24"/>
          <w:szCs w:val="24"/>
        </w:rPr>
        <w:t>Большеколпанское сельское поселение Гатчинского муниципального района Ленинградской области</w:t>
      </w:r>
      <w:r w:rsidR="00F85A60" w:rsidRPr="00F85A60">
        <w:rPr>
          <w:b w:val="0"/>
          <w:sz w:val="24"/>
          <w:szCs w:val="24"/>
        </w:rPr>
        <w:t>.</w:t>
      </w:r>
    </w:p>
    <w:p w:rsidR="00F85A60" w:rsidRPr="00F85A60" w:rsidRDefault="000C0E94" w:rsidP="000C0E94">
      <w:pPr>
        <w:suppressAutoHyphens/>
        <w:autoSpaceDE w:val="0"/>
        <w:autoSpaceDN w:val="0"/>
        <w:adjustRightInd w:val="0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</w:t>
      </w:r>
      <w:r w:rsidR="00F85A60" w:rsidRPr="00F85A60">
        <w:rPr>
          <w:b w:val="0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F85A60" w:rsidRPr="00F85A60" w:rsidRDefault="00F85A60" w:rsidP="000C0E94">
      <w:pPr>
        <w:suppressAutoHyphens/>
        <w:autoSpaceDE w:val="0"/>
        <w:autoSpaceDN w:val="0"/>
        <w:adjustRightInd w:val="0"/>
        <w:ind w:firstLine="567"/>
        <w:jc w:val="both"/>
        <w:rPr>
          <w:b w:val="0"/>
          <w:color w:val="000000"/>
          <w:sz w:val="24"/>
          <w:szCs w:val="24"/>
        </w:rPr>
      </w:pPr>
    </w:p>
    <w:p w:rsidR="00F85A60" w:rsidRPr="00F61072" w:rsidRDefault="00F85A60" w:rsidP="000C0E94">
      <w:pPr>
        <w:suppressAutoHyphens/>
        <w:autoSpaceDE w:val="0"/>
        <w:autoSpaceDN w:val="0"/>
        <w:adjustRightInd w:val="0"/>
        <w:ind w:firstLine="709"/>
        <w:jc w:val="both"/>
        <w:rPr>
          <w:b w:val="0"/>
          <w:color w:val="000000"/>
          <w:sz w:val="24"/>
          <w:szCs w:val="24"/>
        </w:rPr>
      </w:pPr>
    </w:p>
    <w:p w:rsidR="00F85A60" w:rsidRPr="00F61072" w:rsidRDefault="00F85A60" w:rsidP="00F85A60">
      <w:pPr>
        <w:suppressAutoHyphens/>
        <w:autoSpaceDE w:val="0"/>
        <w:autoSpaceDN w:val="0"/>
        <w:adjustRightInd w:val="0"/>
        <w:ind w:firstLine="709"/>
        <w:jc w:val="both"/>
        <w:rPr>
          <w:b w:val="0"/>
          <w:color w:val="000000"/>
          <w:sz w:val="24"/>
          <w:szCs w:val="24"/>
        </w:rPr>
      </w:pPr>
    </w:p>
    <w:p w:rsidR="00F85A60" w:rsidRDefault="00F85A60" w:rsidP="00F85A60">
      <w:pPr>
        <w:shd w:val="clear" w:color="auto" w:fill="FFFFFF"/>
        <w:spacing w:before="105" w:after="105"/>
        <w:ind w:firstLine="426"/>
        <w:jc w:val="both"/>
        <w:rPr>
          <w:b w:val="0"/>
          <w:sz w:val="24"/>
          <w:szCs w:val="24"/>
        </w:rPr>
      </w:pPr>
      <w:r w:rsidRPr="00F61072">
        <w:rPr>
          <w:b w:val="0"/>
          <w:sz w:val="24"/>
          <w:szCs w:val="24"/>
        </w:rPr>
        <w:t>Глава администрации:                                                                       М.В. Бычинина</w:t>
      </w:r>
    </w:p>
    <w:p w:rsidR="00F85A60" w:rsidRDefault="00F85A60" w:rsidP="00F85A60">
      <w:pPr>
        <w:shd w:val="clear" w:color="auto" w:fill="FFFFFF"/>
        <w:spacing w:before="105" w:after="105"/>
        <w:ind w:firstLine="426"/>
        <w:jc w:val="both"/>
        <w:rPr>
          <w:b w:val="0"/>
          <w:sz w:val="24"/>
          <w:szCs w:val="24"/>
        </w:rPr>
      </w:pPr>
    </w:p>
    <w:p w:rsidR="00F85A60" w:rsidRPr="00F61072" w:rsidRDefault="00F85A60" w:rsidP="00F85A60">
      <w:pPr>
        <w:jc w:val="right"/>
        <w:rPr>
          <w:rFonts w:eastAsia="Calibri"/>
          <w:b w:val="0"/>
          <w:sz w:val="24"/>
          <w:szCs w:val="24"/>
        </w:rPr>
      </w:pPr>
      <w:r w:rsidRPr="00F61072">
        <w:rPr>
          <w:rFonts w:eastAsia="Calibri"/>
          <w:b w:val="0"/>
          <w:sz w:val="24"/>
          <w:szCs w:val="24"/>
        </w:rPr>
        <w:lastRenderedPageBreak/>
        <w:t>ПРИЛОЖЕНИЕ  № 1</w:t>
      </w:r>
    </w:p>
    <w:p w:rsidR="00F85A60" w:rsidRPr="00F61072" w:rsidRDefault="00F85A60" w:rsidP="00F85A60">
      <w:pPr>
        <w:jc w:val="right"/>
        <w:rPr>
          <w:rFonts w:eastAsia="Calibri"/>
          <w:b w:val="0"/>
          <w:sz w:val="24"/>
          <w:szCs w:val="24"/>
        </w:rPr>
      </w:pPr>
      <w:r w:rsidRPr="00F61072">
        <w:rPr>
          <w:rFonts w:eastAsia="Calibri"/>
          <w:b w:val="0"/>
          <w:sz w:val="24"/>
          <w:szCs w:val="24"/>
        </w:rPr>
        <w:t>к Постановлению администрации</w:t>
      </w:r>
    </w:p>
    <w:p w:rsidR="00F85A60" w:rsidRPr="00F61072" w:rsidRDefault="00F85A60" w:rsidP="00F85A60">
      <w:pPr>
        <w:jc w:val="right"/>
        <w:rPr>
          <w:rFonts w:eastAsia="Calibri"/>
          <w:b w:val="0"/>
          <w:sz w:val="24"/>
          <w:szCs w:val="24"/>
        </w:rPr>
      </w:pPr>
      <w:r w:rsidRPr="00F61072">
        <w:rPr>
          <w:rFonts w:eastAsia="Calibri"/>
          <w:b w:val="0"/>
          <w:sz w:val="24"/>
          <w:szCs w:val="24"/>
        </w:rPr>
        <w:t xml:space="preserve">Большеколпанского  сельского  поселения </w:t>
      </w:r>
    </w:p>
    <w:p w:rsidR="00F85A60" w:rsidRPr="00F61072" w:rsidRDefault="000E320C" w:rsidP="00F85A60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от «02» августа</w:t>
      </w:r>
      <w:r w:rsidR="00F85A60" w:rsidRPr="00F61072">
        <w:rPr>
          <w:rFonts w:eastAsia="Calibri"/>
          <w:b w:val="0"/>
          <w:sz w:val="24"/>
          <w:szCs w:val="24"/>
        </w:rPr>
        <w:t xml:space="preserve"> 2017 г. №</w:t>
      </w:r>
      <w:r>
        <w:rPr>
          <w:rFonts w:eastAsia="Calibri"/>
          <w:b w:val="0"/>
          <w:sz w:val="24"/>
          <w:szCs w:val="24"/>
        </w:rPr>
        <w:t xml:space="preserve"> 339</w:t>
      </w:r>
    </w:p>
    <w:p w:rsidR="006F718D" w:rsidRDefault="000E320C"/>
    <w:p w:rsidR="007777BA" w:rsidRDefault="00F85A60" w:rsidP="007777BA">
      <w:pPr>
        <w:spacing w:after="255"/>
        <w:jc w:val="center"/>
        <w:outlineLvl w:val="2"/>
        <w:rPr>
          <w:b w:val="0"/>
          <w:sz w:val="24"/>
          <w:szCs w:val="24"/>
        </w:rPr>
      </w:pPr>
      <w:r w:rsidRPr="0064259A">
        <w:rPr>
          <w:b w:val="0"/>
          <w:bCs/>
          <w:sz w:val="24"/>
          <w:szCs w:val="24"/>
        </w:rPr>
        <w:t>Порядок</w:t>
      </w:r>
      <w:r w:rsidRPr="0064259A">
        <w:rPr>
          <w:b w:val="0"/>
          <w:bCs/>
          <w:sz w:val="24"/>
          <w:szCs w:val="24"/>
        </w:rPr>
        <w:br/>
        <w:t xml:space="preserve">использования открытого огня и разведения костров на территории муниципального образования </w:t>
      </w:r>
      <w:r w:rsidR="007777BA" w:rsidRPr="00F85A60">
        <w:rPr>
          <w:b w:val="0"/>
          <w:color w:val="000000"/>
          <w:sz w:val="24"/>
          <w:szCs w:val="24"/>
        </w:rPr>
        <w:t>Большеколпанское сельское поселение Гатчинского муниципального района Ленинградской области</w:t>
      </w:r>
      <w:r w:rsidR="007777BA" w:rsidRPr="00F85A60">
        <w:rPr>
          <w:b w:val="0"/>
          <w:sz w:val="24"/>
          <w:szCs w:val="24"/>
        </w:rPr>
        <w:t xml:space="preserve"> </w:t>
      </w:r>
    </w:p>
    <w:p w:rsidR="00F85A60" w:rsidRDefault="00F85A60" w:rsidP="007777BA">
      <w:pPr>
        <w:spacing w:after="255"/>
        <w:jc w:val="both"/>
        <w:outlineLvl w:val="2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 xml:space="preserve">1. Настоящий Порядок использования открытого огня и разведения костров на территории муниципального образования </w:t>
      </w:r>
      <w:r w:rsidR="007777BA" w:rsidRPr="00F85A60">
        <w:rPr>
          <w:b w:val="0"/>
          <w:color w:val="000000"/>
          <w:sz w:val="24"/>
          <w:szCs w:val="24"/>
        </w:rPr>
        <w:t>Большеколпанское сельское поселение Гатчинского муниципального района Ленинградской области</w:t>
      </w:r>
      <w:r w:rsidR="007777BA" w:rsidRPr="00F85A60">
        <w:rPr>
          <w:b w:val="0"/>
          <w:sz w:val="24"/>
          <w:szCs w:val="24"/>
        </w:rPr>
        <w:t xml:space="preserve"> </w:t>
      </w:r>
      <w:r w:rsidRPr="00F85A60">
        <w:rPr>
          <w:b w:val="0"/>
          <w:sz w:val="24"/>
          <w:szCs w:val="24"/>
        </w:rPr>
        <w:t xml:space="preserve">(далее - Порядок) устанавливает обязательные требования пожарной безопасности к использованию открытого огня и разведению костров на территории муниципального образования </w:t>
      </w:r>
      <w:r w:rsidR="007777BA" w:rsidRPr="00F85A60">
        <w:rPr>
          <w:b w:val="0"/>
          <w:color w:val="000000"/>
          <w:sz w:val="24"/>
          <w:szCs w:val="24"/>
        </w:rPr>
        <w:t>Большеколпанское сельское поселение Гатчинского муниципального района Ленинградской области</w:t>
      </w:r>
      <w:r w:rsidRPr="00F85A60">
        <w:rPr>
          <w:b w:val="0"/>
          <w:sz w:val="24"/>
          <w:szCs w:val="24"/>
        </w:rPr>
        <w:t xml:space="preserve"> (далее - использование открытого огня).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proofErr w:type="gramStart"/>
      <w:r w:rsidRPr="00F85A60">
        <w:rPr>
          <w:b w:val="0"/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F85A60">
        <w:rPr>
          <w:b w:val="0"/>
          <w:sz w:val="24"/>
          <w:szCs w:val="24"/>
        </w:rPr>
        <w:t xml:space="preserve"> более 1 куб. метра;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 xml:space="preserve">б) место использования открытого огня должно располагаться на расстоянии не менее </w:t>
      </w:r>
      <w:r w:rsidR="00A465B9">
        <w:rPr>
          <w:b w:val="0"/>
          <w:sz w:val="24"/>
          <w:szCs w:val="24"/>
        </w:rPr>
        <w:t>15</w:t>
      </w:r>
      <w:r w:rsidRPr="00F85A60">
        <w:rPr>
          <w:b w:val="0"/>
          <w:sz w:val="24"/>
          <w:szCs w:val="24"/>
        </w:rPr>
        <w:t>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6" w:anchor="1022" w:history="1">
        <w:r w:rsidRPr="00F85A60">
          <w:rPr>
            <w:b w:val="0"/>
            <w:sz w:val="24"/>
            <w:szCs w:val="24"/>
          </w:rPr>
          <w:t>подпунктами «б»</w:t>
        </w:r>
      </w:hyperlink>
      <w:r w:rsidRPr="00F85A60">
        <w:rPr>
          <w:b w:val="0"/>
          <w:sz w:val="24"/>
          <w:szCs w:val="24"/>
        </w:rPr>
        <w:t> и </w:t>
      </w:r>
      <w:hyperlink r:id="rId7" w:anchor="1023" w:history="1">
        <w:r w:rsidRPr="00F85A60">
          <w:rPr>
            <w:b w:val="0"/>
            <w:sz w:val="24"/>
            <w:szCs w:val="24"/>
          </w:rPr>
          <w:t>«в» пункта 2</w:t>
        </w:r>
      </w:hyperlink>
      <w:r w:rsidRPr="00F85A60">
        <w:rPr>
          <w:b w:val="0"/>
          <w:sz w:val="24"/>
          <w:szCs w:val="24"/>
        </w:rPr>
        <w:t> настоящего Порядка, могут быть уменьшены вдвое. При этом устройство противопожарной минерализованной полосы не требуется.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lastRenderedPageBreak/>
        <w:t xml:space="preserve">5. </w:t>
      </w:r>
      <w:proofErr w:type="gramStart"/>
      <w:r w:rsidRPr="00F85A60">
        <w:rPr>
          <w:b w:val="0"/>
          <w:sz w:val="24"/>
          <w:szCs w:val="24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</w:t>
      </w:r>
      <w:r w:rsidR="00A465B9">
        <w:rPr>
          <w:b w:val="0"/>
          <w:sz w:val="24"/>
          <w:szCs w:val="24"/>
        </w:rPr>
        <w:t xml:space="preserve">не </w:t>
      </w:r>
      <w:r w:rsidRPr="00F85A60">
        <w:rPr>
          <w:b w:val="0"/>
          <w:sz w:val="24"/>
          <w:szCs w:val="24"/>
        </w:rPr>
        <w:t xml:space="preserve">допускается увеличивать диаметр очага горения до </w:t>
      </w:r>
      <w:r w:rsidR="00A465B9">
        <w:rPr>
          <w:b w:val="0"/>
          <w:sz w:val="24"/>
          <w:szCs w:val="24"/>
        </w:rPr>
        <w:t>1,5</w:t>
      </w:r>
      <w:r w:rsidRPr="00F85A60">
        <w:rPr>
          <w:b w:val="0"/>
          <w:sz w:val="24"/>
          <w:szCs w:val="24"/>
        </w:rPr>
        <w:t xml:space="preserve">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</w:t>
      </w:r>
      <w:r w:rsidR="00A465B9">
        <w:rPr>
          <w:b w:val="0"/>
          <w:sz w:val="24"/>
          <w:szCs w:val="24"/>
        </w:rPr>
        <w:t>ти от высоты точки их размещения, но  не менее 8 метров</w:t>
      </w:r>
      <w:r w:rsidRPr="00F85A60">
        <w:rPr>
          <w:b w:val="0"/>
          <w:sz w:val="24"/>
          <w:szCs w:val="24"/>
        </w:rPr>
        <w:t>.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7. При увеличении диаметра зоны очага горения должны быть выполнены требования </w:t>
      </w:r>
      <w:hyperlink r:id="rId8" w:anchor="1002" w:history="1">
        <w:r w:rsidRPr="00F85A60">
          <w:rPr>
            <w:b w:val="0"/>
            <w:sz w:val="24"/>
            <w:szCs w:val="24"/>
          </w:rPr>
          <w:t>пункта 2</w:t>
        </w:r>
      </w:hyperlink>
      <w:r w:rsidRPr="00F85A60">
        <w:rPr>
          <w:b w:val="0"/>
          <w:sz w:val="24"/>
          <w:szCs w:val="24"/>
        </w:rPr>
        <w:t> 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 645 (зарегистрирован Минюстом России 21.01.2008, регистрационный № 10938).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9. Использование открытого огня запрещается: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- на торфяных почвах;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- при установлении на соответствующей территории особого противопожарного режима;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- под кронами деревьев;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- в емкости, стенки которой имеют огненный сквозной прогар;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- при скорости ветра, превышающей значение 10 метров в секунду.</w:t>
      </w:r>
    </w:p>
    <w:p w:rsidR="00F85A60" w:rsidRPr="00F85A60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t>10. В процессе использования открытого огня запрещается: осуществлять сжигание горючих и легковоспламеняющихся</w:t>
      </w:r>
    </w:p>
    <w:p w:rsidR="00F85A60" w:rsidRPr="00075E8F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F85A60">
        <w:rPr>
          <w:b w:val="0"/>
          <w:sz w:val="24"/>
          <w:szCs w:val="24"/>
        </w:rPr>
        <w:lastRenderedPageBreak/>
        <w:t xml:space="preserve"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</w:t>
      </w:r>
      <w:r w:rsidRPr="00075E8F">
        <w:rPr>
          <w:b w:val="0"/>
          <w:sz w:val="24"/>
          <w:szCs w:val="24"/>
        </w:rPr>
        <w:t>высокотоксичные вещества;</w:t>
      </w:r>
    </w:p>
    <w:p w:rsidR="00F85A60" w:rsidRPr="00075E8F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075E8F">
        <w:rPr>
          <w:b w:val="0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F85A60" w:rsidRPr="00075E8F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075E8F">
        <w:rPr>
          <w:b w:val="0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F85A60" w:rsidRPr="00075E8F" w:rsidRDefault="00F85A60" w:rsidP="00F85A60">
      <w:pPr>
        <w:spacing w:after="255" w:line="255" w:lineRule="atLeast"/>
        <w:jc w:val="both"/>
        <w:rPr>
          <w:b w:val="0"/>
          <w:sz w:val="24"/>
          <w:szCs w:val="24"/>
        </w:rPr>
      </w:pPr>
      <w:r w:rsidRPr="00075E8F">
        <w:rPr>
          <w:b w:val="0"/>
          <w:sz w:val="24"/>
          <w:szCs w:val="24"/>
        </w:rPr>
        <w:t>11. После использования открытого огня место очага горения должно быть засыпано землей (песком) или залито до полного прекращения горения (тления)</w:t>
      </w:r>
      <w:r w:rsidR="00A465B9">
        <w:rPr>
          <w:b w:val="0"/>
          <w:sz w:val="24"/>
          <w:szCs w:val="24"/>
        </w:rPr>
        <w:t xml:space="preserve"> (</w:t>
      </w:r>
      <w:r w:rsidR="00A465B9" w:rsidRPr="00075E8F">
        <w:rPr>
          <w:b w:val="0"/>
          <w:sz w:val="24"/>
          <w:szCs w:val="24"/>
        </w:rPr>
        <w:t>водой</w:t>
      </w:r>
      <w:r w:rsidR="00A465B9">
        <w:rPr>
          <w:b w:val="0"/>
          <w:sz w:val="24"/>
          <w:szCs w:val="24"/>
        </w:rPr>
        <w:t>, пожарной пеной).</w:t>
      </w:r>
    </w:p>
    <w:p w:rsidR="00F85A60" w:rsidRPr="00075E8F" w:rsidRDefault="00F85A60" w:rsidP="00F85A60">
      <w:pPr>
        <w:jc w:val="both"/>
        <w:rPr>
          <w:b w:val="0"/>
          <w:sz w:val="24"/>
          <w:szCs w:val="24"/>
        </w:rPr>
      </w:pPr>
    </w:p>
    <w:p w:rsidR="00F85A60" w:rsidRDefault="00F85A60"/>
    <w:sectPr w:rsidR="00F85A60" w:rsidSect="003D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16C6"/>
    <w:multiLevelType w:val="hybridMultilevel"/>
    <w:tmpl w:val="6D2A76C4"/>
    <w:lvl w:ilvl="0" w:tplc="159EB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60"/>
    <w:rsid w:val="00075E8F"/>
    <w:rsid w:val="000C0E94"/>
    <w:rsid w:val="000E320C"/>
    <w:rsid w:val="00157BC5"/>
    <w:rsid w:val="003D6DB1"/>
    <w:rsid w:val="00411329"/>
    <w:rsid w:val="007777BA"/>
    <w:rsid w:val="008D742A"/>
    <w:rsid w:val="00A465B9"/>
    <w:rsid w:val="00A5366C"/>
    <w:rsid w:val="00D61367"/>
    <w:rsid w:val="00E377A8"/>
    <w:rsid w:val="00F65662"/>
    <w:rsid w:val="00F8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20C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47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247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24702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2017-08-02T11:49:00Z</cp:lastPrinted>
  <dcterms:created xsi:type="dcterms:W3CDTF">2017-06-08T07:30:00Z</dcterms:created>
  <dcterms:modified xsi:type="dcterms:W3CDTF">2017-08-03T08:23:00Z</dcterms:modified>
</cp:coreProperties>
</file>