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7" w:rsidRDefault="00A60DA7" w:rsidP="00A60DA7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Pr="006B40AD" w:rsidRDefault="00B939CF" w:rsidP="00A60DA7">
      <w:pPr>
        <w:jc w:val="center"/>
        <w:rPr>
          <w:b/>
        </w:rPr>
      </w:pPr>
      <w:r w:rsidRPr="006B40AD">
        <w:rPr>
          <w:b/>
        </w:rPr>
        <w:t>четвертого</w:t>
      </w:r>
      <w:r w:rsidR="00A60DA7" w:rsidRPr="006B40AD">
        <w:rPr>
          <w:b/>
        </w:rPr>
        <w:t xml:space="preserve"> созыва</w:t>
      </w: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875C9A" w:rsidP="00A60DA7">
      <w:r>
        <w:t xml:space="preserve">   </w:t>
      </w:r>
    </w:p>
    <w:p w:rsidR="00A60DA7" w:rsidRDefault="006B40AD" w:rsidP="00A60DA7">
      <w:r>
        <w:t xml:space="preserve">от 24 декабря </w:t>
      </w:r>
      <w:r w:rsidR="00A6559F">
        <w:t>20</w:t>
      </w:r>
      <w:r w:rsidR="005A6BF1">
        <w:t>21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7C6BA4">
        <w:t xml:space="preserve">  </w:t>
      </w:r>
      <w:r w:rsidR="00875C9A">
        <w:t xml:space="preserve">     </w:t>
      </w:r>
      <w:r w:rsidR="007C6BA4">
        <w:t xml:space="preserve">           </w:t>
      </w:r>
      <w:r w:rsidR="002B704C">
        <w:t>№</w:t>
      </w:r>
      <w:r>
        <w:t xml:space="preserve"> </w:t>
      </w:r>
      <w:r w:rsidR="002B704C">
        <w:t xml:space="preserve"> </w:t>
      </w:r>
      <w:r w:rsidR="00B25D50">
        <w:t>122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333AE2">
            <w:pPr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 w:rsidR="006B40AD">
              <w:t>прогнозного плана приватизации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</w:t>
            </w:r>
            <w:r w:rsidR="006B40AD">
              <w:t>22</w:t>
            </w:r>
            <w:r>
              <w:t xml:space="preserve"> год</w:t>
            </w:r>
            <w:r w:rsidR="006B40AD">
              <w:t xml:space="preserve"> и плановый период 2023-2024 годов</w:t>
            </w:r>
          </w:p>
        </w:tc>
      </w:tr>
    </w:tbl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r w:rsidRPr="00EC2CBA">
        <w:t xml:space="preserve">В соответствии со статьей 10 Федерального закона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основании Федерального закона от 06.10.2003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 xml:space="preserve">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EC2CBA">
        <w:t xml:space="preserve">руководствуясь уставом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Утвердить прогнозный план приватизации муниципального имущества муниципального образования Петровское сельское поселение на 20</w:t>
      </w:r>
      <w:r w:rsidR="00333AE2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6B40AD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год</w:t>
      </w:r>
      <w:r w:rsidR="006B40AD">
        <w:rPr>
          <w:rFonts w:ascii="Times New Roman" w:hAnsi="Times New Roman"/>
          <w:iCs/>
          <w:color w:val="000000"/>
          <w:sz w:val="24"/>
          <w:szCs w:val="24"/>
        </w:rPr>
        <w:t xml:space="preserve"> и плановый период 2023-2024 годов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(Приложение 1);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Опубликовать настоящее решение 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Приозерский</w:t>
      </w:r>
      <w:proofErr w:type="spellEnd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7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петровскоесп.рф</w:t>
        </w:r>
        <w:proofErr w:type="spellEnd"/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</w:t>
      </w:r>
      <w:proofErr w:type="spellStart"/>
      <w:r w:rsidR="00333AE2">
        <w:rPr>
          <w:rFonts w:ascii="Times New Roman" w:hAnsi="Times New Roman"/>
          <w:iCs/>
          <w:color w:val="000000"/>
          <w:sz w:val="24"/>
          <w:szCs w:val="24"/>
        </w:rPr>
        <w:t>Комаристова</w:t>
      </w:r>
      <w:proofErr w:type="spellEnd"/>
      <w:r w:rsidR="00333AE2">
        <w:rPr>
          <w:rFonts w:ascii="Times New Roman" w:hAnsi="Times New Roman"/>
          <w:iCs/>
          <w:color w:val="000000"/>
          <w:sz w:val="24"/>
          <w:szCs w:val="24"/>
        </w:rPr>
        <w:t xml:space="preserve"> Г.А.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>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5A6BF1">
        <w:rPr>
          <w:sz w:val="16"/>
          <w:szCs w:val="16"/>
        </w:rPr>
        <w:t xml:space="preserve">сп. </w:t>
      </w:r>
      <w:r w:rsidR="006B40AD">
        <w:rPr>
          <w:sz w:val="16"/>
          <w:szCs w:val="16"/>
        </w:rPr>
        <w:t>Цыпкина О.Ю.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</w:t>
      </w:r>
      <w:r w:rsidR="006B40AD">
        <w:rPr>
          <w:sz w:val="16"/>
          <w:szCs w:val="16"/>
        </w:rPr>
        <w:t>32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7C6BA4" w:rsidRDefault="007C6BA4">
      <w:pPr>
        <w:rPr>
          <w:sz w:val="16"/>
          <w:szCs w:val="16"/>
        </w:rPr>
      </w:pPr>
    </w:p>
    <w:p w:rsidR="006B40AD" w:rsidRDefault="006B40AD" w:rsidP="00D4304C">
      <w:pPr>
        <w:jc w:val="right"/>
        <w:rPr>
          <w:sz w:val="20"/>
          <w:szCs w:val="20"/>
        </w:rPr>
      </w:pP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6B40AD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№ </w:t>
      </w:r>
      <w:r w:rsidR="007C6BA4">
        <w:rPr>
          <w:sz w:val="20"/>
          <w:szCs w:val="20"/>
        </w:rPr>
        <w:t xml:space="preserve"> от </w:t>
      </w:r>
      <w:r>
        <w:rPr>
          <w:sz w:val="20"/>
          <w:szCs w:val="20"/>
        </w:rPr>
        <w:t>24 декабря</w:t>
      </w:r>
      <w:r w:rsidR="007C6BA4">
        <w:rPr>
          <w:sz w:val="20"/>
          <w:szCs w:val="20"/>
        </w:rPr>
        <w:t xml:space="preserve"> 2021 года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 w:rsidR="006B40AD">
        <w:rPr>
          <w:b/>
          <w:bCs/>
          <w:lang w:eastAsia="zh-CN"/>
        </w:rPr>
        <w:t>22</w:t>
      </w:r>
      <w:r w:rsidRPr="00571321">
        <w:rPr>
          <w:b/>
          <w:bCs/>
          <w:lang w:eastAsia="zh-CN"/>
        </w:rPr>
        <w:t xml:space="preserve">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</w:tr>
    </w:tbl>
    <w:p w:rsidR="006B40AD" w:rsidRDefault="006B40AD" w:rsidP="00D4304C">
      <w:pPr>
        <w:tabs>
          <w:tab w:val="left" w:pos="8102"/>
        </w:tabs>
        <w:rPr>
          <w:sz w:val="23"/>
          <w:szCs w:val="23"/>
        </w:rPr>
      </w:pP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>
        <w:rPr>
          <w:b/>
          <w:bCs/>
          <w:lang w:eastAsia="zh-CN"/>
        </w:rPr>
        <w:t>23</w:t>
      </w:r>
      <w:r w:rsidRPr="00571321">
        <w:rPr>
          <w:b/>
          <w:bCs/>
          <w:lang w:eastAsia="zh-CN"/>
        </w:rPr>
        <w:t xml:space="preserve"> год</w:t>
      </w:r>
    </w:p>
    <w:p w:rsidR="006B40AD" w:rsidRPr="006B40AD" w:rsidRDefault="006B40AD" w:rsidP="006B40AD">
      <w:pPr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6B40AD" w:rsidRPr="00571321" w:rsidTr="006B40AD">
        <w:tc>
          <w:tcPr>
            <w:tcW w:w="916" w:type="dxa"/>
            <w:shd w:val="clear" w:color="auto" w:fill="auto"/>
          </w:tcPr>
          <w:p w:rsidR="006B40AD" w:rsidRDefault="006B40AD" w:rsidP="006B40AD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6B40AD" w:rsidRPr="00571321" w:rsidRDefault="006B40AD" w:rsidP="006B40AD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6B40AD" w:rsidRPr="00571321" w:rsidRDefault="006B40AD" w:rsidP="006B40AD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6B40AD" w:rsidTr="006B40AD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B40AD" w:rsidRDefault="006B40AD" w:rsidP="006B40AD">
            <w:pPr>
              <w:jc w:val="center"/>
            </w:pPr>
            <w:r>
              <w:t>-</w:t>
            </w:r>
          </w:p>
        </w:tc>
      </w:tr>
    </w:tbl>
    <w:p w:rsidR="006B40AD" w:rsidRPr="006B40AD" w:rsidRDefault="006B40AD" w:rsidP="006B40AD">
      <w:pPr>
        <w:rPr>
          <w:sz w:val="23"/>
          <w:szCs w:val="23"/>
        </w:rPr>
      </w:pP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6B40AD" w:rsidRDefault="006B40AD" w:rsidP="006B40AD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</w:t>
      </w:r>
      <w:r>
        <w:rPr>
          <w:b/>
          <w:bCs/>
          <w:lang w:eastAsia="zh-CN"/>
        </w:rPr>
        <w:t>24</w:t>
      </w:r>
      <w:r w:rsidRPr="00571321">
        <w:rPr>
          <w:b/>
          <w:bCs/>
          <w:lang w:eastAsia="zh-CN"/>
        </w:rPr>
        <w:t xml:space="preserve"> год</w:t>
      </w:r>
    </w:p>
    <w:p w:rsidR="006B40AD" w:rsidRDefault="006B40AD" w:rsidP="006B40AD">
      <w:pPr>
        <w:suppressAutoHyphens/>
        <w:jc w:val="center"/>
        <w:rPr>
          <w:b/>
          <w:bCs/>
          <w:lang w:eastAsia="zh-CN"/>
        </w:rPr>
      </w:pPr>
    </w:p>
    <w:tbl>
      <w:tblPr>
        <w:tblpPr w:leftFromText="180" w:rightFromText="180" w:vertAnchor="text" w:horzAnchor="margin" w:tblpXSpec="center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6B40AD" w:rsidRPr="00571321" w:rsidTr="006F0C9C">
        <w:tc>
          <w:tcPr>
            <w:tcW w:w="916" w:type="dxa"/>
            <w:shd w:val="clear" w:color="auto" w:fill="auto"/>
          </w:tcPr>
          <w:p w:rsidR="006B40AD" w:rsidRDefault="006B40AD" w:rsidP="006F0C9C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6B40AD" w:rsidRPr="00571321" w:rsidRDefault="006B40AD" w:rsidP="006F0C9C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п/п</w:t>
            </w:r>
          </w:p>
        </w:tc>
        <w:tc>
          <w:tcPr>
            <w:tcW w:w="1708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кв.м</w:t>
            </w:r>
          </w:p>
        </w:tc>
        <w:tc>
          <w:tcPr>
            <w:tcW w:w="1515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6B40AD" w:rsidRPr="00571321" w:rsidRDefault="006B40AD" w:rsidP="006F0C9C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тыс.руб.</w:t>
            </w:r>
          </w:p>
        </w:tc>
      </w:tr>
      <w:tr w:rsidR="006B40AD" w:rsidTr="006F0C9C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B40AD" w:rsidRDefault="006B40AD" w:rsidP="006F0C9C">
            <w:pPr>
              <w:jc w:val="center"/>
            </w:pPr>
            <w:r>
              <w:t>-</w:t>
            </w:r>
          </w:p>
        </w:tc>
      </w:tr>
    </w:tbl>
    <w:p w:rsidR="006B40AD" w:rsidRPr="00571321" w:rsidRDefault="006B40AD" w:rsidP="006B40AD">
      <w:pPr>
        <w:suppressAutoHyphens/>
        <w:jc w:val="center"/>
        <w:rPr>
          <w:b/>
          <w:bCs/>
          <w:lang w:eastAsia="zh-CN"/>
        </w:rPr>
      </w:pPr>
    </w:p>
    <w:p w:rsidR="006B40AD" w:rsidRPr="006B40AD" w:rsidRDefault="006B40AD" w:rsidP="006B40AD">
      <w:pPr>
        <w:rPr>
          <w:sz w:val="23"/>
          <w:szCs w:val="23"/>
        </w:rPr>
      </w:pPr>
    </w:p>
    <w:p w:rsidR="006B40AD" w:rsidRPr="006B40AD" w:rsidRDefault="006B40AD" w:rsidP="006B40AD">
      <w:pPr>
        <w:rPr>
          <w:sz w:val="23"/>
          <w:szCs w:val="23"/>
        </w:rPr>
      </w:pPr>
    </w:p>
    <w:p w:rsidR="006B40AD" w:rsidRPr="006B40AD" w:rsidRDefault="006B40AD" w:rsidP="006B40AD">
      <w:pPr>
        <w:rPr>
          <w:sz w:val="23"/>
          <w:szCs w:val="23"/>
        </w:rPr>
      </w:pPr>
    </w:p>
    <w:p w:rsidR="006B40AD" w:rsidRDefault="006B40AD" w:rsidP="006B40AD">
      <w:pPr>
        <w:rPr>
          <w:sz w:val="23"/>
          <w:szCs w:val="23"/>
        </w:rPr>
      </w:pPr>
    </w:p>
    <w:p w:rsidR="006B40AD" w:rsidRDefault="006B40AD" w:rsidP="006B40AD">
      <w:pPr>
        <w:rPr>
          <w:sz w:val="23"/>
          <w:szCs w:val="23"/>
        </w:rPr>
      </w:pPr>
    </w:p>
    <w:p w:rsidR="00571321" w:rsidRDefault="006B40AD" w:rsidP="006B40AD">
      <w:pPr>
        <w:tabs>
          <w:tab w:val="left" w:pos="2718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6B40AD" w:rsidRDefault="006B40AD" w:rsidP="006B40AD">
      <w:pPr>
        <w:tabs>
          <w:tab w:val="left" w:pos="2718"/>
        </w:tabs>
        <w:rPr>
          <w:sz w:val="23"/>
          <w:szCs w:val="23"/>
        </w:rPr>
      </w:pPr>
    </w:p>
    <w:p w:rsidR="006B40AD" w:rsidRDefault="006B40AD" w:rsidP="006B40AD">
      <w:pPr>
        <w:tabs>
          <w:tab w:val="left" w:pos="2718"/>
        </w:tabs>
        <w:rPr>
          <w:sz w:val="23"/>
          <w:szCs w:val="23"/>
        </w:rPr>
      </w:pPr>
    </w:p>
    <w:p w:rsidR="006B40AD" w:rsidRPr="006B40AD" w:rsidRDefault="006B40AD" w:rsidP="006B40AD">
      <w:pPr>
        <w:tabs>
          <w:tab w:val="left" w:pos="2718"/>
        </w:tabs>
        <w:rPr>
          <w:sz w:val="23"/>
          <w:szCs w:val="23"/>
        </w:rPr>
      </w:pPr>
    </w:p>
    <w:sectPr w:rsidR="006B40AD" w:rsidRPr="006B40AD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0147"/>
    <w:rsid w:val="0005168D"/>
    <w:rsid w:val="00067A9E"/>
    <w:rsid w:val="0007032E"/>
    <w:rsid w:val="00072B58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0EB7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744AB"/>
    <w:rsid w:val="002A4CD0"/>
    <w:rsid w:val="002B3CE8"/>
    <w:rsid w:val="002B704C"/>
    <w:rsid w:val="003000FA"/>
    <w:rsid w:val="0030109B"/>
    <w:rsid w:val="00312F48"/>
    <w:rsid w:val="003165C1"/>
    <w:rsid w:val="0033219E"/>
    <w:rsid w:val="00333AE2"/>
    <w:rsid w:val="00337434"/>
    <w:rsid w:val="0036276A"/>
    <w:rsid w:val="0036589B"/>
    <w:rsid w:val="00371B29"/>
    <w:rsid w:val="00371BBB"/>
    <w:rsid w:val="00374A7C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3195F"/>
    <w:rsid w:val="00536921"/>
    <w:rsid w:val="005469FD"/>
    <w:rsid w:val="00571321"/>
    <w:rsid w:val="0058370A"/>
    <w:rsid w:val="005A6BF1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6B40AD"/>
    <w:rsid w:val="00700DCF"/>
    <w:rsid w:val="00713852"/>
    <w:rsid w:val="00736BF9"/>
    <w:rsid w:val="00750BA2"/>
    <w:rsid w:val="0075256F"/>
    <w:rsid w:val="00774F7C"/>
    <w:rsid w:val="0079134B"/>
    <w:rsid w:val="007A7DBF"/>
    <w:rsid w:val="007C4225"/>
    <w:rsid w:val="007C6BA4"/>
    <w:rsid w:val="007E35D2"/>
    <w:rsid w:val="0080125C"/>
    <w:rsid w:val="00804CBA"/>
    <w:rsid w:val="00860E07"/>
    <w:rsid w:val="008749E3"/>
    <w:rsid w:val="00875C9A"/>
    <w:rsid w:val="00876836"/>
    <w:rsid w:val="00883925"/>
    <w:rsid w:val="008D335E"/>
    <w:rsid w:val="008D77A3"/>
    <w:rsid w:val="008E2701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5D50"/>
    <w:rsid w:val="00B340EA"/>
    <w:rsid w:val="00B42B77"/>
    <w:rsid w:val="00B62E3A"/>
    <w:rsid w:val="00B642F0"/>
    <w:rsid w:val="00B75CF8"/>
    <w:rsid w:val="00B8071A"/>
    <w:rsid w:val="00B939CF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55F32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1239-D7D0-436B-9BCB-3AA9507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3142</Characters>
  <Application>Microsoft Office Word</Application>
  <DocSecurity>0</DocSecurity>
  <Lines>84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Ксения</cp:lastModifiedBy>
  <cp:revision>2</cp:revision>
  <cp:lastPrinted>2022-01-12T12:01:00Z</cp:lastPrinted>
  <dcterms:created xsi:type="dcterms:W3CDTF">2022-01-14T13:09:00Z</dcterms:created>
  <dcterms:modified xsi:type="dcterms:W3CDTF">2022-01-14T13:09:00Z</dcterms:modified>
</cp:coreProperties>
</file>